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2C" w:rsidRPr="007D3998" w:rsidRDefault="00E67477" w:rsidP="002153EF">
      <w:pPr>
        <w:rPr>
          <w:rFonts w:cstheme="minorHAnsi"/>
          <w:color w:val="000000"/>
          <w:sz w:val="22"/>
          <w:szCs w:val="22"/>
        </w:rPr>
      </w:pPr>
      <w:r>
        <w:rPr>
          <w:color w:val="000000"/>
        </w:rPr>
        <w:tab/>
      </w:r>
      <w:r>
        <w:rPr>
          <w:color w:val="000000"/>
        </w:rPr>
        <w:tab/>
      </w:r>
      <w:r w:rsidRPr="007D3998">
        <w:rPr>
          <w:rFonts w:cstheme="minorHAnsi"/>
          <w:color w:val="000000"/>
          <w:sz w:val="22"/>
          <w:szCs w:val="22"/>
        </w:rPr>
        <w:tab/>
      </w:r>
      <w:r w:rsidRPr="007D3998">
        <w:rPr>
          <w:rFonts w:cstheme="minorHAnsi"/>
          <w:color w:val="000000"/>
          <w:sz w:val="22"/>
          <w:szCs w:val="22"/>
        </w:rPr>
        <w:tab/>
      </w:r>
      <w:r w:rsidRPr="007D3998">
        <w:rPr>
          <w:rFonts w:cstheme="minorHAnsi"/>
          <w:color w:val="000000"/>
          <w:sz w:val="22"/>
          <w:szCs w:val="22"/>
        </w:rPr>
        <w:tab/>
      </w:r>
      <w:r w:rsidRPr="007D3998">
        <w:rPr>
          <w:rFonts w:cstheme="minorHAnsi"/>
          <w:color w:val="000000"/>
          <w:sz w:val="22"/>
          <w:szCs w:val="22"/>
        </w:rPr>
        <w:tab/>
      </w:r>
      <w:r w:rsidRPr="007D3998">
        <w:rPr>
          <w:rFonts w:cstheme="minorHAnsi"/>
          <w:color w:val="000000"/>
          <w:sz w:val="22"/>
          <w:szCs w:val="22"/>
        </w:rPr>
        <w:tab/>
      </w:r>
      <w:r w:rsidRPr="007D3998">
        <w:rPr>
          <w:rFonts w:cstheme="minorHAnsi"/>
          <w:color w:val="000000"/>
          <w:sz w:val="22"/>
          <w:szCs w:val="22"/>
        </w:rPr>
        <w:tab/>
        <w:t>Buenos Aires, 17</w:t>
      </w:r>
      <w:r w:rsidR="00F04F2C" w:rsidRPr="007D3998">
        <w:rPr>
          <w:rFonts w:cstheme="minorHAnsi"/>
          <w:color w:val="000000"/>
          <w:sz w:val="22"/>
          <w:szCs w:val="22"/>
        </w:rPr>
        <w:t>-</w:t>
      </w:r>
      <w:r w:rsidRPr="007D3998">
        <w:rPr>
          <w:rFonts w:cstheme="minorHAnsi"/>
          <w:color w:val="000000"/>
          <w:sz w:val="22"/>
          <w:szCs w:val="22"/>
        </w:rPr>
        <w:t>Junio</w:t>
      </w:r>
      <w:r w:rsidR="00F04F2C" w:rsidRPr="007D3998">
        <w:rPr>
          <w:rFonts w:cstheme="minorHAnsi"/>
          <w:color w:val="000000"/>
          <w:sz w:val="22"/>
          <w:szCs w:val="22"/>
        </w:rPr>
        <w:t>-2020</w:t>
      </w:r>
    </w:p>
    <w:p w:rsidR="00F04F2C" w:rsidRPr="007D3998" w:rsidRDefault="00F04F2C" w:rsidP="002153EF">
      <w:pPr>
        <w:rPr>
          <w:rFonts w:cstheme="minorHAnsi"/>
          <w:color w:val="000000"/>
          <w:sz w:val="22"/>
          <w:szCs w:val="22"/>
        </w:rPr>
      </w:pPr>
    </w:p>
    <w:p w:rsidR="002153EF" w:rsidRPr="007D3998" w:rsidRDefault="00AB5683" w:rsidP="002153EF">
      <w:pPr>
        <w:rPr>
          <w:rFonts w:eastAsiaTheme="minorHAnsi" w:cstheme="minorHAnsi"/>
          <w:color w:val="000000"/>
          <w:sz w:val="22"/>
          <w:szCs w:val="22"/>
        </w:rPr>
      </w:pPr>
      <w:r w:rsidRPr="007D3998">
        <w:rPr>
          <w:rFonts w:cstheme="minorHAnsi"/>
          <w:color w:val="000000"/>
          <w:sz w:val="22"/>
          <w:szCs w:val="22"/>
        </w:rPr>
        <w:t>Hola</w:t>
      </w:r>
      <w:r w:rsidR="002153EF" w:rsidRPr="007D3998">
        <w:rPr>
          <w:rFonts w:cstheme="minorHAnsi"/>
          <w:color w:val="000000"/>
          <w:sz w:val="22"/>
          <w:szCs w:val="22"/>
        </w:rPr>
        <w:t xml:space="preserve"> Gabriela.</w:t>
      </w:r>
    </w:p>
    <w:p w:rsidR="002153EF" w:rsidRPr="007D3998" w:rsidRDefault="002153EF" w:rsidP="002153EF">
      <w:pPr>
        <w:rPr>
          <w:rFonts w:cstheme="minorHAnsi"/>
          <w:color w:val="000000"/>
          <w:sz w:val="22"/>
          <w:szCs w:val="22"/>
        </w:rPr>
      </w:pPr>
    </w:p>
    <w:p w:rsidR="00E67477" w:rsidRPr="007D3998" w:rsidRDefault="00E67477" w:rsidP="00E67477">
      <w:pPr>
        <w:rPr>
          <w:rFonts w:cstheme="minorHAnsi"/>
          <w:color w:val="000000"/>
          <w:sz w:val="22"/>
          <w:szCs w:val="22"/>
        </w:rPr>
      </w:pPr>
      <w:r w:rsidRPr="007D3998">
        <w:rPr>
          <w:rFonts w:cstheme="minorHAnsi"/>
          <w:color w:val="000000"/>
          <w:sz w:val="22"/>
          <w:szCs w:val="22"/>
        </w:rPr>
        <w:t xml:space="preserve">Les enviamos un nuevo informe de prestadores. No hemos corregido el anterior, sino que hemos </w:t>
      </w:r>
      <w:proofErr w:type="spellStart"/>
      <w:r w:rsidRPr="007D3998">
        <w:rPr>
          <w:rFonts w:cstheme="minorHAnsi"/>
          <w:color w:val="000000"/>
          <w:sz w:val="22"/>
          <w:szCs w:val="22"/>
        </w:rPr>
        <w:t>circularizado</w:t>
      </w:r>
      <w:proofErr w:type="spellEnd"/>
      <w:r w:rsidRPr="007D3998">
        <w:rPr>
          <w:rFonts w:cstheme="minorHAnsi"/>
          <w:color w:val="000000"/>
          <w:sz w:val="22"/>
          <w:szCs w:val="22"/>
        </w:rPr>
        <w:t xml:space="preserve"> una nueva planilla en la que se aclaraba solamente cargar las Obras Sociales que recuperan del Integración</w:t>
      </w:r>
      <w:r w:rsidR="00D449C6" w:rsidRPr="007D3998">
        <w:rPr>
          <w:rFonts w:cstheme="minorHAnsi"/>
          <w:color w:val="000000"/>
          <w:sz w:val="22"/>
          <w:szCs w:val="22"/>
        </w:rPr>
        <w:t xml:space="preserve"> instituidas según </w:t>
      </w:r>
      <w:r w:rsidR="00D449C6" w:rsidRPr="007D3998">
        <w:rPr>
          <w:rFonts w:eastAsia="Times New Roman" w:cstheme="minorHAnsi"/>
          <w:color w:val="000000"/>
          <w:sz w:val="22"/>
          <w:szCs w:val="22"/>
          <w:lang w:val="es-MX" w:eastAsia="es-MX"/>
        </w:rPr>
        <w:t>Decreto Nº 904/2016</w:t>
      </w:r>
      <w:r w:rsidRPr="007D3998">
        <w:rPr>
          <w:rFonts w:cstheme="minorHAnsi"/>
          <w:color w:val="000000"/>
          <w:sz w:val="22"/>
          <w:szCs w:val="22"/>
        </w:rPr>
        <w:t xml:space="preserve"> (para ello adjuntamos a la planilla enviada el Listado de OOSS proporcionado por </w:t>
      </w:r>
      <w:proofErr w:type="spellStart"/>
      <w:r w:rsidRPr="007D3998">
        <w:rPr>
          <w:rFonts w:cstheme="minorHAnsi"/>
          <w:color w:val="000000"/>
          <w:sz w:val="22"/>
          <w:szCs w:val="22"/>
        </w:rPr>
        <w:t>Uds</w:t>
      </w:r>
      <w:proofErr w:type="spellEnd"/>
      <w:r w:rsidRPr="007D3998">
        <w:rPr>
          <w:rFonts w:cstheme="minorHAnsi"/>
          <w:color w:val="000000"/>
          <w:sz w:val="22"/>
          <w:szCs w:val="22"/>
        </w:rPr>
        <w:t>).</w:t>
      </w:r>
    </w:p>
    <w:p w:rsidR="00E67477" w:rsidRPr="007D3998" w:rsidRDefault="00E67477" w:rsidP="00E67477">
      <w:pPr>
        <w:rPr>
          <w:rFonts w:cstheme="minorHAnsi"/>
          <w:color w:val="000000"/>
          <w:sz w:val="22"/>
          <w:szCs w:val="22"/>
        </w:rPr>
      </w:pPr>
      <w:r w:rsidRPr="007D3998">
        <w:rPr>
          <w:rFonts w:cstheme="minorHAnsi"/>
          <w:color w:val="000000"/>
          <w:sz w:val="22"/>
          <w:szCs w:val="22"/>
        </w:rPr>
        <w:t>Se ha especificado que las prestaciones que se facturan sean las contempladas en e</w:t>
      </w:r>
      <w:r w:rsidRPr="007D3998">
        <w:rPr>
          <w:rFonts w:eastAsia="Times New Roman" w:cstheme="minorHAnsi"/>
          <w:color w:val="000000"/>
          <w:sz w:val="22"/>
          <w:szCs w:val="22"/>
          <w:lang w:val="es-MX" w:eastAsia="es-MX"/>
        </w:rPr>
        <w:t>l Nomenclador de Prestaciones Básicas para Personas con Discapacidad aprobado por la Resolución N° 428/1999</w:t>
      </w:r>
      <w:r w:rsidRPr="007D3998">
        <w:rPr>
          <w:rFonts w:cstheme="minorHAnsi"/>
          <w:color w:val="000000"/>
          <w:sz w:val="22"/>
          <w:szCs w:val="22"/>
        </w:rPr>
        <w:t>.</w:t>
      </w:r>
    </w:p>
    <w:p w:rsidR="00D449C6" w:rsidRPr="007D3998" w:rsidRDefault="00D449C6" w:rsidP="00E67477">
      <w:pPr>
        <w:rPr>
          <w:rFonts w:cstheme="minorHAnsi"/>
          <w:color w:val="000000"/>
          <w:sz w:val="22"/>
          <w:szCs w:val="22"/>
        </w:rPr>
      </w:pPr>
    </w:p>
    <w:p w:rsidR="002153EF" w:rsidRPr="007D3998" w:rsidRDefault="00E67477" w:rsidP="002153EF">
      <w:pPr>
        <w:rPr>
          <w:rFonts w:cstheme="minorHAnsi"/>
          <w:color w:val="000000"/>
          <w:sz w:val="22"/>
          <w:szCs w:val="22"/>
        </w:rPr>
      </w:pPr>
      <w:r w:rsidRPr="007D3998">
        <w:rPr>
          <w:rFonts w:cstheme="minorHAnsi"/>
          <w:color w:val="000000"/>
          <w:sz w:val="22"/>
          <w:szCs w:val="22"/>
        </w:rPr>
        <w:t xml:space="preserve">Hemos considerado para las fechas de corte de los distintos informes los plazos establecidos en </w:t>
      </w:r>
      <w:r w:rsidR="00D449C6" w:rsidRPr="007D3998">
        <w:rPr>
          <w:rFonts w:cstheme="minorHAnsi"/>
          <w:color w:val="000000"/>
          <w:sz w:val="22"/>
          <w:szCs w:val="22"/>
        </w:rPr>
        <w:t xml:space="preserve">el artículo 1 de la </w:t>
      </w:r>
      <w:r w:rsidR="00D449C6" w:rsidRPr="007D3998">
        <w:rPr>
          <w:rFonts w:eastAsia="Times New Roman" w:cstheme="minorHAnsi"/>
          <w:color w:val="000000"/>
          <w:sz w:val="22"/>
          <w:szCs w:val="22"/>
          <w:lang w:val="es-MX" w:eastAsia="es-MX"/>
        </w:rPr>
        <w:t xml:space="preserve">Resolución 887/17 </w:t>
      </w:r>
      <w:proofErr w:type="spellStart"/>
      <w:r w:rsidR="00D449C6" w:rsidRPr="007D3998">
        <w:rPr>
          <w:rFonts w:eastAsia="Times New Roman" w:cstheme="minorHAnsi"/>
          <w:color w:val="000000"/>
          <w:sz w:val="22"/>
          <w:szCs w:val="22"/>
          <w:lang w:val="es-MX" w:eastAsia="es-MX"/>
        </w:rPr>
        <w:t>SSSalud</w:t>
      </w:r>
      <w:proofErr w:type="spellEnd"/>
      <w:r w:rsidR="00D449C6" w:rsidRPr="007D3998">
        <w:rPr>
          <w:rFonts w:eastAsia="Times New Roman" w:cstheme="minorHAnsi"/>
          <w:color w:val="000000"/>
          <w:sz w:val="22"/>
          <w:szCs w:val="22"/>
          <w:lang w:val="es-MX" w:eastAsia="es-MX"/>
        </w:rPr>
        <w:t xml:space="preserve">, aunque también presentaremos informes complementarios sobre este </w:t>
      </w:r>
      <w:r w:rsidR="00D76F0F" w:rsidRPr="007D3998">
        <w:rPr>
          <w:rFonts w:eastAsia="Times New Roman" w:cstheme="minorHAnsi"/>
          <w:color w:val="000000"/>
          <w:sz w:val="22"/>
          <w:szCs w:val="22"/>
          <w:lang w:val="es-MX" w:eastAsia="es-MX"/>
        </w:rPr>
        <w:t>tema</w:t>
      </w:r>
      <w:r w:rsidR="00D449C6" w:rsidRPr="007D3998">
        <w:rPr>
          <w:rFonts w:eastAsia="Times New Roman" w:cstheme="minorHAnsi"/>
          <w:color w:val="000000"/>
          <w:sz w:val="22"/>
          <w:szCs w:val="22"/>
          <w:lang w:val="es-MX" w:eastAsia="es-MX"/>
        </w:rPr>
        <w:t>.</w:t>
      </w:r>
    </w:p>
    <w:p w:rsidR="00D449C6" w:rsidRPr="007D3998" w:rsidRDefault="00D449C6" w:rsidP="002153EF">
      <w:pPr>
        <w:rPr>
          <w:rFonts w:cstheme="minorHAnsi"/>
          <w:color w:val="000000"/>
          <w:sz w:val="22"/>
          <w:szCs w:val="22"/>
        </w:rPr>
      </w:pPr>
    </w:p>
    <w:p w:rsidR="00D449C6" w:rsidRPr="007D3998" w:rsidRDefault="00D449C6" w:rsidP="00D449C6">
      <w:pPr>
        <w:spacing w:after="200"/>
        <w:jc w:val="both"/>
        <w:rPr>
          <w:rFonts w:eastAsia="Times New Roman" w:cstheme="minorHAnsi"/>
          <w:color w:val="000000"/>
          <w:sz w:val="22"/>
          <w:szCs w:val="22"/>
          <w:lang w:val="es-MX" w:eastAsia="es-MX"/>
        </w:rPr>
      </w:pPr>
      <w:r w:rsidRPr="007D3998">
        <w:rPr>
          <w:rFonts w:eastAsia="Times New Roman" w:cstheme="minorHAnsi"/>
          <w:color w:val="000000"/>
          <w:sz w:val="22"/>
          <w:szCs w:val="22"/>
          <w:lang w:val="es-MX" w:eastAsia="es-MX"/>
        </w:rPr>
        <w:t>Respecto a la Resolución 276/18, que indica que</w:t>
      </w:r>
      <w:r w:rsidRPr="007D3998">
        <w:rPr>
          <w:rFonts w:eastAsia="Times New Roman" w:cstheme="minorHAnsi"/>
          <w:i/>
          <w:color w:val="000000"/>
          <w:sz w:val="22"/>
          <w:szCs w:val="22"/>
          <w:lang w:val="es-MX" w:eastAsia="es-MX"/>
        </w:rPr>
        <w:t xml:space="preserve"> </w:t>
      </w:r>
      <w:r w:rsidR="00D76F0F" w:rsidRPr="007D3998">
        <w:rPr>
          <w:rFonts w:eastAsia="Times New Roman" w:cstheme="minorHAnsi"/>
          <w:i/>
          <w:color w:val="000000"/>
          <w:sz w:val="22"/>
          <w:szCs w:val="22"/>
          <w:lang w:val="es-MX" w:eastAsia="es-MX"/>
        </w:rPr>
        <w:t>“</w:t>
      </w:r>
      <w:r w:rsidRPr="007D3998">
        <w:rPr>
          <w:rFonts w:eastAsia="Times New Roman" w:cstheme="minorHAnsi"/>
          <w:i/>
          <w:color w:val="000000"/>
          <w:sz w:val="22"/>
          <w:szCs w:val="22"/>
          <w:lang w:val="es-MX" w:eastAsia="es-MX"/>
        </w:rPr>
        <w:t>se habilitará una carpeta identificada por año/mes, que se corresponde con el periodo de cobertura hasta el que se podrá informar la facturación recibida. Asimismo, en el archivo que se incorpore en la carpeta vigente se podrá incluir facturación de período de cobertura de hasta 2 meses anteriores”</w:t>
      </w:r>
      <w:r w:rsidRPr="007D3998">
        <w:rPr>
          <w:rFonts w:eastAsia="Times New Roman" w:cstheme="minorHAnsi"/>
          <w:color w:val="000000"/>
          <w:sz w:val="22"/>
          <w:szCs w:val="22"/>
          <w:lang w:val="es-MX" w:eastAsia="es-MX"/>
        </w:rPr>
        <w:t xml:space="preserve"> entendemos  que la misma debe ser utilizada en beneficio de los prestadores para que ante algún inconveniente tengan la posibilidad de presentar facturas correspondientes a prestaciones brindadas en períodos anteriores, pero entendemos que esto no sería habilitante para que las OOSS se tomen 60 días para subir las facturas a las carpetas habilitadas. Para poder discernir y analizar más claramente este punto, hemos solicitado a nuestros asociados que nos informen no ya la fecha de emisión de la factura, sino la fecha real de presentación </w:t>
      </w:r>
      <w:r w:rsidR="00D76F0F" w:rsidRPr="007D3998">
        <w:rPr>
          <w:rFonts w:eastAsia="Times New Roman" w:cstheme="minorHAnsi"/>
          <w:color w:val="000000"/>
          <w:sz w:val="22"/>
          <w:szCs w:val="22"/>
          <w:lang w:val="es-MX" w:eastAsia="es-MX"/>
        </w:rPr>
        <w:t xml:space="preserve">de la misma </w:t>
      </w:r>
      <w:r w:rsidRPr="007D3998">
        <w:rPr>
          <w:rFonts w:eastAsia="Times New Roman" w:cstheme="minorHAnsi"/>
          <w:color w:val="000000"/>
          <w:sz w:val="22"/>
          <w:szCs w:val="22"/>
          <w:lang w:val="es-MX" w:eastAsia="es-MX"/>
        </w:rPr>
        <w:t>a la OOSS.</w:t>
      </w:r>
    </w:p>
    <w:p w:rsidR="00D449C6" w:rsidRPr="007D3998" w:rsidRDefault="00D76F0F" w:rsidP="002153EF">
      <w:pPr>
        <w:rPr>
          <w:rFonts w:cstheme="minorHAnsi"/>
          <w:color w:val="000000"/>
          <w:sz w:val="22"/>
          <w:szCs w:val="22"/>
          <w:lang w:val="es-MX"/>
        </w:rPr>
      </w:pPr>
      <w:r w:rsidRPr="007D3998">
        <w:rPr>
          <w:rFonts w:cstheme="minorHAnsi"/>
          <w:color w:val="000000"/>
          <w:sz w:val="22"/>
          <w:szCs w:val="22"/>
          <w:lang w:val="es-MX"/>
        </w:rPr>
        <w:t xml:space="preserve">Por último, planteamos la necesidad de contar con un acceso a la información de mayor agilidad que el actualmente disponible (CONSULTA DE INTEGRACION - </w:t>
      </w:r>
      <w:hyperlink r:id="rId9" w:history="1">
        <w:r w:rsidRPr="007D3998">
          <w:rPr>
            <w:rStyle w:val="Hipervnculo"/>
            <w:rFonts w:cstheme="minorHAnsi"/>
            <w:sz w:val="22"/>
            <w:szCs w:val="22"/>
          </w:rPr>
          <w:t>https://www.sssalud.gob.ar/index.php?page=integracion</w:t>
        </w:r>
      </w:hyperlink>
      <w:r w:rsidRPr="007D3998">
        <w:rPr>
          <w:rFonts w:cstheme="minorHAnsi"/>
          <w:sz w:val="22"/>
          <w:szCs w:val="22"/>
        </w:rPr>
        <w:t>) ya que considerando el volumen de comprobantes que manejan algunos de nuestros asociados, la mencionada consulta resulta de uso inviable. Proponemos una consulta masiva por CUIT de PRESTADOR, en la que se muestren todos los comprobantes del mismo que las distintas OOSS hayan informado a la SSS, y su ubicación actual. Para no explayarnos demasiado sobre este punto, proponemos un mecanismo de trabajo conjunto que permita trabajar sobre un mejor acceso a la información.</w:t>
      </w:r>
    </w:p>
    <w:p w:rsidR="00D449C6" w:rsidRPr="007D3998" w:rsidRDefault="00D449C6" w:rsidP="002153EF">
      <w:pPr>
        <w:rPr>
          <w:rFonts w:cstheme="minorHAnsi"/>
          <w:color w:val="000000"/>
          <w:sz w:val="22"/>
          <w:szCs w:val="22"/>
          <w:lang w:val="es-MX"/>
        </w:rPr>
      </w:pPr>
    </w:p>
    <w:p w:rsidR="00D76F0F" w:rsidRPr="007D3998" w:rsidRDefault="00A60462" w:rsidP="002153EF">
      <w:pPr>
        <w:rPr>
          <w:rFonts w:cstheme="minorHAnsi"/>
          <w:color w:val="000000"/>
          <w:sz w:val="22"/>
          <w:szCs w:val="22"/>
          <w:lang w:val="es-MX"/>
        </w:rPr>
      </w:pPr>
      <w:r w:rsidRPr="007D3998">
        <w:rPr>
          <w:rFonts w:cstheme="minorHAnsi"/>
          <w:color w:val="000000"/>
          <w:sz w:val="22"/>
          <w:szCs w:val="22"/>
          <w:lang w:val="es-MX"/>
        </w:rPr>
        <w:t>Dicho esto, pasamos ahora a una breve explicación sobre los reportes que enviamos.</w:t>
      </w:r>
    </w:p>
    <w:p w:rsidR="00A60462" w:rsidRPr="007D3998" w:rsidRDefault="00A60462" w:rsidP="002153EF">
      <w:pPr>
        <w:rPr>
          <w:rFonts w:cstheme="minorHAnsi"/>
          <w:color w:val="000000"/>
          <w:sz w:val="22"/>
          <w:szCs w:val="22"/>
          <w:lang w:val="es-MX"/>
        </w:rPr>
      </w:pPr>
    </w:p>
    <w:p w:rsidR="00A60462" w:rsidRPr="007D3998" w:rsidRDefault="00A60462" w:rsidP="00A60462">
      <w:pPr>
        <w:pStyle w:val="Prrafodelista"/>
        <w:numPr>
          <w:ilvl w:val="0"/>
          <w:numId w:val="3"/>
        </w:numPr>
        <w:rPr>
          <w:rStyle w:val="Hipervnculo"/>
          <w:rFonts w:cstheme="minorHAnsi"/>
          <w:sz w:val="22"/>
          <w:szCs w:val="22"/>
        </w:rPr>
      </w:pPr>
      <w:r w:rsidRPr="007D3998">
        <w:rPr>
          <w:rStyle w:val="Hipervnculo"/>
          <w:rFonts w:cstheme="minorHAnsi"/>
          <w:sz w:val="22"/>
          <w:szCs w:val="22"/>
        </w:rPr>
        <w:t>Informe de Participación</w:t>
      </w:r>
    </w:p>
    <w:p w:rsidR="00A60462" w:rsidRPr="007D3998" w:rsidRDefault="00A60462" w:rsidP="00A60462">
      <w:pPr>
        <w:pStyle w:val="Prrafodelista"/>
        <w:rPr>
          <w:rFonts w:cstheme="minorHAnsi"/>
          <w:color w:val="000000"/>
          <w:sz w:val="22"/>
          <w:szCs w:val="22"/>
          <w:lang w:val="es-MX"/>
        </w:rPr>
      </w:pPr>
      <w:r w:rsidRPr="007D3998">
        <w:rPr>
          <w:rFonts w:cstheme="minorHAnsi"/>
          <w:color w:val="000000"/>
          <w:sz w:val="22"/>
          <w:szCs w:val="22"/>
          <w:lang w:val="es-MX"/>
        </w:rPr>
        <w:t xml:space="preserve">Presenta un breve resumen sobre la cantidad de asociaciones miembros del Foro </w:t>
      </w:r>
      <w:r w:rsidR="007D3998">
        <w:rPr>
          <w:rFonts w:cstheme="minorHAnsi"/>
          <w:color w:val="000000"/>
          <w:sz w:val="22"/>
          <w:szCs w:val="22"/>
          <w:lang w:val="es-MX"/>
        </w:rPr>
        <w:t>Permanente Discapacidad</w:t>
      </w:r>
      <w:bookmarkStart w:id="0" w:name="_GoBack"/>
      <w:bookmarkEnd w:id="0"/>
      <w:r w:rsidRPr="007D3998">
        <w:rPr>
          <w:rFonts w:cstheme="minorHAnsi"/>
          <w:color w:val="000000"/>
          <w:sz w:val="22"/>
          <w:szCs w:val="22"/>
          <w:lang w:val="es-MX"/>
        </w:rPr>
        <w:t xml:space="preserve"> y sus asociados que han participado en este relevamiento. Se detalla también el volumen de información obtenido. En el caso de comprobantes adeudados, la muestra alcanza un volumen muy significativo de casi 10.000, lo suficientemente significativo como para que cualquier error administrativo, de transcripción, etc. no alteren en nada las tendencias de los resultados obtenidos.</w:t>
      </w:r>
    </w:p>
    <w:p w:rsidR="007D3998" w:rsidRPr="007D3998" w:rsidRDefault="007D3998" w:rsidP="00A60462">
      <w:pPr>
        <w:pStyle w:val="Prrafodelista"/>
        <w:rPr>
          <w:rFonts w:cstheme="minorHAnsi"/>
          <w:color w:val="000000"/>
          <w:sz w:val="22"/>
          <w:szCs w:val="22"/>
          <w:lang w:val="es-MX"/>
        </w:rPr>
      </w:pPr>
    </w:p>
    <w:p w:rsidR="007D3998" w:rsidRPr="007D3998" w:rsidRDefault="007D3998" w:rsidP="00A60462">
      <w:pPr>
        <w:pStyle w:val="Prrafodelista"/>
        <w:rPr>
          <w:rFonts w:cstheme="minorHAnsi"/>
          <w:color w:val="000000"/>
          <w:sz w:val="22"/>
          <w:szCs w:val="22"/>
          <w:lang w:val="es-MX"/>
        </w:rPr>
      </w:pPr>
    </w:p>
    <w:p w:rsidR="00A60462" w:rsidRPr="007D3998" w:rsidRDefault="00A60462" w:rsidP="00A60462">
      <w:pPr>
        <w:pStyle w:val="Prrafodelista"/>
        <w:rPr>
          <w:rFonts w:cstheme="minorHAnsi"/>
          <w:color w:val="000000"/>
          <w:sz w:val="22"/>
          <w:szCs w:val="22"/>
          <w:lang w:val="es-MX"/>
        </w:rPr>
      </w:pPr>
    </w:p>
    <w:p w:rsidR="00A60462" w:rsidRPr="007D3998" w:rsidRDefault="00A60462" w:rsidP="00A60462">
      <w:pPr>
        <w:pStyle w:val="Prrafodelista"/>
        <w:numPr>
          <w:ilvl w:val="0"/>
          <w:numId w:val="3"/>
        </w:numPr>
        <w:rPr>
          <w:rStyle w:val="Hipervnculo"/>
          <w:rFonts w:cstheme="minorHAnsi"/>
          <w:sz w:val="22"/>
          <w:szCs w:val="22"/>
        </w:rPr>
      </w:pPr>
      <w:r w:rsidRPr="007D3998">
        <w:rPr>
          <w:rStyle w:val="Hipervnculo"/>
          <w:rFonts w:cstheme="minorHAnsi"/>
          <w:sz w:val="22"/>
          <w:szCs w:val="22"/>
        </w:rPr>
        <w:t>Inconvenientes – Vista por Obra Social</w:t>
      </w:r>
    </w:p>
    <w:p w:rsidR="00A60462" w:rsidRPr="007D3998" w:rsidRDefault="00A60462" w:rsidP="00A60462">
      <w:pPr>
        <w:pStyle w:val="Prrafodelista"/>
        <w:rPr>
          <w:rFonts w:cstheme="minorHAnsi"/>
          <w:color w:val="000000"/>
          <w:sz w:val="22"/>
          <w:szCs w:val="22"/>
          <w:lang w:val="es-MX"/>
        </w:rPr>
      </w:pPr>
      <w:r w:rsidRPr="007D3998">
        <w:rPr>
          <w:rFonts w:cstheme="minorHAnsi"/>
          <w:color w:val="000000"/>
          <w:sz w:val="22"/>
          <w:szCs w:val="22"/>
          <w:lang w:val="es-MX"/>
        </w:rPr>
        <w:lastRenderedPageBreak/>
        <w:t>Se presenta agrupado por Obra Social, en orden descen</w:t>
      </w:r>
      <w:r w:rsidR="007B4033" w:rsidRPr="007D3998">
        <w:rPr>
          <w:rFonts w:cstheme="minorHAnsi"/>
          <w:color w:val="000000"/>
          <w:sz w:val="22"/>
          <w:szCs w:val="22"/>
          <w:lang w:val="es-MX"/>
        </w:rPr>
        <w:t>dente por cantidad de inconvenientes reportados.</w:t>
      </w:r>
    </w:p>
    <w:p w:rsidR="00A60462" w:rsidRPr="007D3998" w:rsidRDefault="00A60462" w:rsidP="002153EF">
      <w:pPr>
        <w:rPr>
          <w:rFonts w:cstheme="minorHAnsi"/>
          <w:color w:val="000000"/>
          <w:sz w:val="22"/>
          <w:szCs w:val="22"/>
        </w:rPr>
      </w:pPr>
    </w:p>
    <w:p w:rsidR="007B4033" w:rsidRPr="007D3998" w:rsidRDefault="007B4033" w:rsidP="007B4033">
      <w:pPr>
        <w:pStyle w:val="Prrafodelista"/>
        <w:numPr>
          <w:ilvl w:val="0"/>
          <w:numId w:val="3"/>
        </w:numPr>
        <w:rPr>
          <w:rStyle w:val="Hipervnculo"/>
          <w:rFonts w:cstheme="minorHAnsi"/>
          <w:sz w:val="22"/>
          <w:szCs w:val="22"/>
        </w:rPr>
      </w:pPr>
      <w:r w:rsidRPr="007D3998">
        <w:rPr>
          <w:rStyle w:val="Hipervnculo"/>
          <w:rFonts w:cstheme="minorHAnsi"/>
          <w:sz w:val="22"/>
          <w:szCs w:val="22"/>
        </w:rPr>
        <w:t>Inconvenientes – Vista por Inconveniente</w:t>
      </w:r>
    </w:p>
    <w:p w:rsidR="007B4033" w:rsidRPr="007D3998" w:rsidRDefault="00AB5683" w:rsidP="007B4033">
      <w:pPr>
        <w:ind w:left="708"/>
        <w:rPr>
          <w:rFonts w:cstheme="minorHAnsi"/>
          <w:color w:val="000000"/>
          <w:sz w:val="22"/>
          <w:szCs w:val="22"/>
        </w:rPr>
      </w:pPr>
      <w:r w:rsidRPr="007D3998">
        <w:rPr>
          <w:rFonts w:cstheme="minorHAnsi"/>
          <w:color w:val="000000"/>
          <w:sz w:val="22"/>
          <w:szCs w:val="22"/>
        </w:rPr>
        <w:t>Se visualizan los inconvenientes, tambié</w:t>
      </w:r>
      <w:r w:rsidR="007B4033" w:rsidRPr="007D3998">
        <w:rPr>
          <w:rFonts w:cstheme="minorHAnsi"/>
          <w:color w:val="000000"/>
          <w:sz w:val="22"/>
          <w:szCs w:val="22"/>
        </w:rPr>
        <w:t>n en orden descendente, y por cada obra social, la cantidad de prestadores que lo han reportado.</w:t>
      </w:r>
    </w:p>
    <w:p w:rsidR="00F04F2C" w:rsidRPr="007D3998" w:rsidRDefault="00F04F2C" w:rsidP="002153EF">
      <w:pPr>
        <w:rPr>
          <w:rFonts w:cstheme="minorHAnsi"/>
          <w:color w:val="000000"/>
          <w:sz w:val="22"/>
          <w:szCs w:val="22"/>
        </w:rPr>
      </w:pPr>
    </w:p>
    <w:p w:rsidR="00F04F2C" w:rsidRPr="007D3998" w:rsidRDefault="00495728" w:rsidP="00DE7CF1">
      <w:pPr>
        <w:pStyle w:val="Prrafodelista"/>
        <w:numPr>
          <w:ilvl w:val="0"/>
          <w:numId w:val="2"/>
        </w:numPr>
        <w:rPr>
          <w:rFonts w:cstheme="minorHAnsi"/>
          <w:color w:val="000000"/>
          <w:sz w:val="22"/>
          <w:szCs w:val="22"/>
        </w:rPr>
      </w:pPr>
      <w:hyperlink r:id="rId10" w:history="1">
        <w:r w:rsidR="00F04F2C" w:rsidRPr="007D3998">
          <w:rPr>
            <w:rStyle w:val="Hipervnculo"/>
            <w:rFonts w:cstheme="minorHAnsi"/>
            <w:sz w:val="22"/>
            <w:szCs w:val="22"/>
          </w:rPr>
          <w:t>Facturas no presentadas a la SSS</w:t>
        </w:r>
      </w:hyperlink>
      <w:r w:rsidR="007B4033" w:rsidRPr="007D3998">
        <w:rPr>
          <w:rStyle w:val="Hipervnculo"/>
          <w:rFonts w:cstheme="minorHAnsi"/>
          <w:sz w:val="22"/>
          <w:szCs w:val="22"/>
        </w:rPr>
        <w:t xml:space="preserve"> – </w:t>
      </w:r>
      <w:r w:rsidR="00C12285" w:rsidRPr="007D3998">
        <w:rPr>
          <w:rStyle w:val="Hipervnculo"/>
          <w:rFonts w:cstheme="minorHAnsi"/>
          <w:sz w:val="22"/>
          <w:szCs w:val="22"/>
        </w:rPr>
        <w:t>A</w:t>
      </w:r>
      <w:r w:rsidR="007B4033" w:rsidRPr="007D3998">
        <w:rPr>
          <w:rStyle w:val="Hipervnculo"/>
          <w:rFonts w:cstheme="minorHAnsi"/>
          <w:sz w:val="22"/>
          <w:szCs w:val="22"/>
        </w:rPr>
        <w:t xml:space="preserve"> Febrero</w:t>
      </w:r>
      <w:r w:rsidR="00C12285" w:rsidRPr="007D3998">
        <w:rPr>
          <w:rStyle w:val="Hipervnculo"/>
          <w:rFonts w:cstheme="minorHAnsi"/>
          <w:sz w:val="22"/>
          <w:szCs w:val="22"/>
        </w:rPr>
        <w:t xml:space="preserve"> – TOTAL OS</w:t>
      </w:r>
      <w:r w:rsidR="00F04F2C" w:rsidRPr="007D3998">
        <w:rPr>
          <w:rFonts w:cstheme="minorHAnsi"/>
          <w:color w:val="000000"/>
          <w:sz w:val="22"/>
          <w:szCs w:val="22"/>
        </w:rPr>
        <w:t xml:space="preserve">: </w:t>
      </w:r>
      <w:r w:rsidR="007B4033" w:rsidRPr="007D3998">
        <w:rPr>
          <w:rFonts w:cstheme="minorHAnsi"/>
          <w:color w:val="000000"/>
          <w:sz w:val="22"/>
          <w:szCs w:val="22"/>
        </w:rPr>
        <w:t xml:space="preserve">Considerando lo expuesto en la introducción, y teniendo en cuenta que este mes debería </w:t>
      </w:r>
      <w:r w:rsidR="00C12285" w:rsidRPr="007D3998">
        <w:rPr>
          <w:rFonts w:cstheme="minorHAnsi"/>
          <w:color w:val="000000"/>
          <w:sz w:val="22"/>
          <w:szCs w:val="22"/>
        </w:rPr>
        <w:t xml:space="preserve">estar habilitada la factura MAYO, en la que aún se pueden incluir prestaciones de ABRIL y MARZO, hemos tomado como fecha de corte para este reporte las prestaciones presentadas a las OOSS hasta el mes de marzo (prestaciones brindadas en febrero).  </w:t>
      </w:r>
    </w:p>
    <w:p w:rsidR="00C12285" w:rsidRPr="007D3998" w:rsidRDefault="00C12285" w:rsidP="00C12285">
      <w:pPr>
        <w:pStyle w:val="Prrafodelista"/>
        <w:rPr>
          <w:rFonts w:cstheme="minorHAnsi"/>
          <w:color w:val="000000"/>
          <w:sz w:val="22"/>
          <w:szCs w:val="22"/>
        </w:rPr>
      </w:pPr>
      <w:r w:rsidRPr="007D3998">
        <w:rPr>
          <w:rFonts w:cstheme="minorHAnsi"/>
          <w:color w:val="000000"/>
          <w:sz w:val="22"/>
          <w:szCs w:val="22"/>
        </w:rPr>
        <w:t>En esta primera vista, se muestra el total de comprobantes no presentados por Obra Social, ordenadas descendentemente por cantidad. Considerando la escasa información y posibilidad de seguimiento con la que contamos, consideramos como NO PRESENTADOS a aquellos comprobantes que no aparecen en la CONSULTA INTEGRACION.</w:t>
      </w:r>
    </w:p>
    <w:p w:rsidR="007B4033" w:rsidRPr="007D3998" w:rsidRDefault="007B4033" w:rsidP="00C12285">
      <w:pPr>
        <w:pStyle w:val="Prrafodelista"/>
        <w:rPr>
          <w:rFonts w:cstheme="minorHAnsi"/>
          <w:color w:val="000000"/>
          <w:sz w:val="22"/>
          <w:szCs w:val="22"/>
        </w:rPr>
      </w:pPr>
    </w:p>
    <w:p w:rsidR="00884009" w:rsidRPr="007D3998" w:rsidRDefault="00495728" w:rsidP="00DE7CF1">
      <w:pPr>
        <w:pStyle w:val="Prrafodelista"/>
        <w:numPr>
          <w:ilvl w:val="0"/>
          <w:numId w:val="2"/>
        </w:numPr>
        <w:rPr>
          <w:rFonts w:cstheme="minorHAnsi"/>
          <w:color w:val="000000"/>
          <w:sz w:val="22"/>
          <w:szCs w:val="22"/>
        </w:rPr>
      </w:pPr>
      <w:hyperlink r:id="rId11" w:history="1">
        <w:r w:rsidR="00C12285" w:rsidRPr="007D3998">
          <w:rPr>
            <w:rStyle w:val="Hipervnculo"/>
            <w:rFonts w:cstheme="minorHAnsi"/>
            <w:sz w:val="22"/>
            <w:szCs w:val="22"/>
          </w:rPr>
          <w:t>Facturas no presentadas a la SSS</w:t>
        </w:r>
      </w:hyperlink>
      <w:r w:rsidR="00C12285" w:rsidRPr="007D3998">
        <w:rPr>
          <w:rStyle w:val="Hipervnculo"/>
          <w:rFonts w:cstheme="minorHAnsi"/>
          <w:sz w:val="22"/>
          <w:szCs w:val="22"/>
        </w:rPr>
        <w:t xml:space="preserve"> – A Febrero – Por prestador</w:t>
      </w:r>
      <w:r w:rsidR="00C12285" w:rsidRPr="007D3998">
        <w:rPr>
          <w:rFonts w:cstheme="minorHAnsi"/>
          <w:color w:val="000000"/>
          <w:sz w:val="22"/>
          <w:szCs w:val="22"/>
        </w:rPr>
        <w:t xml:space="preserve">: </w:t>
      </w:r>
      <w:r w:rsidR="007D3998" w:rsidRPr="007D3998">
        <w:rPr>
          <w:rFonts w:cstheme="minorHAnsi"/>
          <w:color w:val="000000"/>
          <w:sz w:val="22"/>
          <w:szCs w:val="22"/>
        </w:rPr>
        <w:t>Ídem</w:t>
      </w:r>
      <w:r w:rsidR="00C12285" w:rsidRPr="007D3998">
        <w:rPr>
          <w:rFonts w:cstheme="minorHAnsi"/>
          <w:color w:val="000000"/>
          <w:sz w:val="22"/>
          <w:szCs w:val="22"/>
        </w:rPr>
        <w:t xml:space="preserve"> al anterior, se muestra esta vez </w:t>
      </w:r>
      <w:proofErr w:type="spellStart"/>
      <w:r w:rsidR="00C12285" w:rsidRPr="007D3998">
        <w:rPr>
          <w:rFonts w:cstheme="minorHAnsi"/>
          <w:color w:val="000000"/>
          <w:sz w:val="22"/>
          <w:szCs w:val="22"/>
        </w:rPr>
        <w:t>aperturado</w:t>
      </w:r>
      <w:proofErr w:type="spellEnd"/>
      <w:r w:rsidR="00C12285" w:rsidRPr="007D3998">
        <w:rPr>
          <w:rFonts w:cstheme="minorHAnsi"/>
          <w:color w:val="000000"/>
          <w:sz w:val="22"/>
          <w:szCs w:val="22"/>
        </w:rPr>
        <w:t xml:space="preserve"> por prestador</w:t>
      </w:r>
    </w:p>
    <w:p w:rsidR="00C12285" w:rsidRPr="007D3998" w:rsidRDefault="00C12285" w:rsidP="00C12285">
      <w:pPr>
        <w:pStyle w:val="Prrafodelista"/>
        <w:rPr>
          <w:rFonts w:cstheme="minorHAnsi"/>
          <w:color w:val="000000"/>
          <w:sz w:val="22"/>
          <w:szCs w:val="22"/>
        </w:rPr>
      </w:pPr>
    </w:p>
    <w:p w:rsidR="00884009" w:rsidRPr="007D3998" w:rsidRDefault="00495728" w:rsidP="00884009">
      <w:pPr>
        <w:pStyle w:val="Prrafodelista"/>
        <w:numPr>
          <w:ilvl w:val="0"/>
          <w:numId w:val="2"/>
        </w:numPr>
        <w:rPr>
          <w:rFonts w:cstheme="minorHAnsi"/>
          <w:color w:val="000000"/>
          <w:sz w:val="22"/>
          <w:szCs w:val="22"/>
        </w:rPr>
      </w:pPr>
      <w:hyperlink r:id="rId12" w:history="1">
        <w:r w:rsidR="00884009" w:rsidRPr="007D3998">
          <w:rPr>
            <w:rStyle w:val="Hipervnculo"/>
            <w:rFonts w:cstheme="minorHAnsi"/>
            <w:sz w:val="22"/>
            <w:szCs w:val="22"/>
          </w:rPr>
          <w:t xml:space="preserve">Facturas ya giradas por la SSS </w:t>
        </w:r>
        <w:r w:rsidR="00C12285" w:rsidRPr="007D3998">
          <w:rPr>
            <w:rStyle w:val="Hipervnculo"/>
            <w:rFonts w:cstheme="minorHAnsi"/>
            <w:sz w:val="22"/>
            <w:szCs w:val="22"/>
          </w:rPr>
          <w:t>–</w:t>
        </w:r>
      </w:hyperlink>
      <w:r w:rsidR="00C12285" w:rsidRPr="007D3998">
        <w:rPr>
          <w:rStyle w:val="Hipervnculo"/>
          <w:rFonts w:cstheme="minorHAnsi"/>
          <w:sz w:val="22"/>
          <w:szCs w:val="22"/>
        </w:rPr>
        <w:t xml:space="preserve"> No abonadas – Total OS</w:t>
      </w:r>
      <w:r w:rsidR="00884009" w:rsidRPr="007D3998">
        <w:rPr>
          <w:rFonts w:cstheme="minorHAnsi"/>
          <w:color w:val="000000"/>
          <w:sz w:val="22"/>
          <w:szCs w:val="22"/>
        </w:rPr>
        <w:t xml:space="preserve">: </w:t>
      </w:r>
      <w:r w:rsidR="00C12285" w:rsidRPr="007D3998">
        <w:rPr>
          <w:rFonts w:cstheme="minorHAnsi"/>
          <w:color w:val="000000"/>
          <w:sz w:val="22"/>
          <w:szCs w:val="22"/>
        </w:rPr>
        <w:t>Tomando como fecha de corte del relevamiento realizado el 10/06/2020, y considerando los 60 días que las OOSS disponen para rendir a la SSS, se muestran en este reporte los comprobantes que según CONSULTA INTEGRACION los fondos han sido girados a las OOSS antes del 10/04/2020, pero a pesar de ello, a la fecha de toma de la información, las mismas no han cumplimentado con el pago a los prestadores.</w:t>
      </w:r>
    </w:p>
    <w:p w:rsidR="00164AE9" w:rsidRPr="007D3998" w:rsidRDefault="00164AE9" w:rsidP="00164AE9">
      <w:pPr>
        <w:ind w:left="708"/>
        <w:rPr>
          <w:rFonts w:cstheme="minorHAnsi"/>
          <w:color w:val="000000"/>
          <w:sz w:val="22"/>
          <w:szCs w:val="22"/>
        </w:rPr>
      </w:pPr>
      <w:r w:rsidRPr="007D3998">
        <w:rPr>
          <w:rFonts w:cstheme="minorHAnsi"/>
          <w:color w:val="000000"/>
          <w:sz w:val="22"/>
          <w:szCs w:val="22"/>
        </w:rPr>
        <w:t>Cantidad total por OS en orden descendente.</w:t>
      </w:r>
    </w:p>
    <w:p w:rsidR="00164AE9" w:rsidRPr="007D3998" w:rsidRDefault="00164AE9" w:rsidP="00164AE9">
      <w:pPr>
        <w:pStyle w:val="Prrafodelista"/>
        <w:rPr>
          <w:rFonts w:cstheme="minorHAnsi"/>
          <w:color w:val="000000"/>
          <w:sz w:val="22"/>
          <w:szCs w:val="22"/>
        </w:rPr>
      </w:pPr>
    </w:p>
    <w:p w:rsidR="00884009" w:rsidRPr="007D3998" w:rsidRDefault="00495728" w:rsidP="0081277B">
      <w:pPr>
        <w:pStyle w:val="Prrafodelista"/>
        <w:numPr>
          <w:ilvl w:val="0"/>
          <w:numId w:val="2"/>
        </w:numPr>
        <w:rPr>
          <w:rFonts w:cstheme="minorHAnsi"/>
          <w:color w:val="000000"/>
          <w:sz w:val="22"/>
          <w:szCs w:val="22"/>
        </w:rPr>
      </w:pPr>
      <w:hyperlink r:id="rId13" w:history="1">
        <w:r w:rsidR="00164AE9" w:rsidRPr="007D3998">
          <w:rPr>
            <w:rStyle w:val="Hipervnculo"/>
            <w:rFonts w:cstheme="minorHAnsi"/>
            <w:sz w:val="22"/>
            <w:szCs w:val="22"/>
          </w:rPr>
          <w:t>Facturas ya giradas por la SSS –</w:t>
        </w:r>
      </w:hyperlink>
      <w:r w:rsidR="00164AE9" w:rsidRPr="007D3998">
        <w:rPr>
          <w:rStyle w:val="Hipervnculo"/>
          <w:rFonts w:cstheme="minorHAnsi"/>
          <w:sz w:val="22"/>
          <w:szCs w:val="22"/>
        </w:rPr>
        <w:t xml:space="preserve"> No abonadas</w:t>
      </w:r>
      <w:r w:rsidR="00164AE9" w:rsidRPr="007D3998">
        <w:rPr>
          <w:rFonts w:cstheme="minorHAnsi"/>
          <w:color w:val="000000"/>
          <w:sz w:val="22"/>
          <w:szCs w:val="22"/>
        </w:rPr>
        <w:t xml:space="preserve">: </w:t>
      </w:r>
      <w:r w:rsidR="007D3998" w:rsidRPr="007D3998">
        <w:rPr>
          <w:rFonts w:cstheme="minorHAnsi"/>
          <w:color w:val="000000"/>
          <w:sz w:val="22"/>
          <w:szCs w:val="22"/>
        </w:rPr>
        <w:t>Ídem</w:t>
      </w:r>
      <w:r w:rsidR="00164AE9" w:rsidRPr="007D3998">
        <w:rPr>
          <w:rFonts w:cstheme="minorHAnsi"/>
          <w:color w:val="000000"/>
          <w:sz w:val="22"/>
          <w:szCs w:val="22"/>
        </w:rPr>
        <w:t xml:space="preserve"> al anterior, </w:t>
      </w:r>
      <w:proofErr w:type="spellStart"/>
      <w:r w:rsidR="00164AE9" w:rsidRPr="007D3998">
        <w:rPr>
          <w:rFonts w:cstheme="minorHAnsi"/>
          <w:color w:val="000000"/>
          <w:sz w:val="22"/>
          <w:szCs w:val="22"/>
        </w:rPr>
        <w:t>aperturado</w:t>
      </w:r>
      <w:proofErr w:type="spellEnd"/>
      <w:r w:rsidR="00164AE9" w:rsidRPr="007D3998">
        <w:rPr>
          <w:rFonts w:cstheme="minorHAnsi"/>
          <w:color w:val="000000"/>
          <w:sz w:val="22"/>
          <w:szCs w:val="22"/>
        </w:rPr>
        <w:t xml:space="preserve"> por prestador.</w:t>
      </w:r>
    </w:p>
    <w:p w:rsidR="00884009" w:rsidRPr="007D3998" w:rsidRDefault="00884009" w:rsidP="00884009">
      <w:pPr>
        <w:pStyle w:val="Prrafodelista"/>
        <w:rPr>
          <w:rFonts w:cstheme="minorHAnsi"/>
          <w:color w:val="000000"/>
          <w:sz w:val="22"/>
          <w:szCs w:val="22"/>
        </w:rPr>
      </w:pPr>
    </w:p>
    <w:p w:rsidR="002153EF" w:rsidRPr="007D3998" w:rsidRDefault="00DC1B39" w:rsidP="002153EF">
      <w:pPr>
        <w:rPr>
          <w:rFonts w:cstheme="minorHAnsi"/>
          <w:color w:val="000000"/>
          <w:sz w:val="22"/>
          <w:szCs w:val="22"/>
        </w:rPr>
      </w:pPr>
      <w:r w:rsidRPr="007D3998">
        <w:rPr>
          <w:rFonts w:cstheme="minorHAnsi"/>
          <w:color w:val="000000"/>
          <w:sz w:val="22"/>
          <w:szCs w:val="22"/>
        </w:rPr>
        <w:t>Por último, ponemos a v/consideración (10 OS a modo de ejemplo) un informe en el que se muestra el gran volumen de comprobantes –siempre según CONSULTA INTEGRACION- cuyos fondos ya han sido girados a las OS (en mucha casos, cerca de 45 días) pero las mismas aún no han abonados las prestaciones, por estar dentro del período de los 60 días ya explicados.</w:t>
      </w:r>
    </w:p>
    <w:p w:rsidR="00164AE9" w:rsidRPr="007D3998" w:rsidRDefault="00164AE9" w:rsidP="002153EF">
      <w:pPr>
        <w:rPr>
          <w:rFonts w:cstheme="minorHAnsi"/>
          <w:color w:val="000000"/>
          <w:sz w:val="22"/>
          <w:szCs w:val="22"/>
        </w:rPr>
      </w:pPr>
    </w:p>
    <w:p w:rsidR="00164AE9" w:rsidRPr="007D3998" w:rsidRDefault="00495728" w:rsidP="002153EF">
      <w:pPr>
        <w:pStyle w:val="Prrafodelista"/>
        <w:numPr>
          <w:ilvl w:val="0"/>
          <w:numId w:val="2"/>
        </w:numPr>
        <w:rPr>
          <w:rFonts w:cstheme="minorHAnsi"/>
          <w:color w:val="000000"/>
          <w:sz w:val="22"/>
          <w:szCs w:val="22"/>
        </w:rPr>
      </w:pPr>
      <w:hyperlink r:id="rId14" w:history="1">
        <w:r w:rsidR="00DC1B39" w:rsidRPr="007D3998">
          <w:rPr>
            <w:rStyle w:val="Hipervnculo"/>
            <w:rFonts w:cstheme="minorHAnsi"/>
            <w:sz w:val="22"/>
            <w:szCs w:val="22"/>
          </w:rPr>
          <w:t>Facturas ya giradas por la SSS –</w:t>
        </w:r>
      </w:hyperlink>
      <w:r w:rsidR="00DC1B39" w:rsidRPr="007D3998">
        <w:rPr>
          <w:rStyle w:val="Hipervnculo"/>
          <w:rFonts w:cstheme="minorHAnsi"/>
          <w:sz w:val="22"/>
          <w:szCs w:val="22"/>
        </w:rPr>
        <w:t xml:space="preserve"> No abonadas – Períodos posteriores</w:t>
      </w:r>
    </w:p>
    <w:p w:rsidR="00DC1B39" w:rsidRPr="007D3998" w:rsidRDefault="00DC1B39" w:rsidP="002153EF">
      <w:pPr>
        <w:rPr>
          <w:rFonts w:cstheme="minorHAnsi"/>
          <w:color w:val="000000"/>
          <w:sz w:val="22"/>
          <w:szCs w:val="22"/>
        </w:rPr>
      </w:pPr>
    </w:p>
    <w:p w:rsidR="00DC1B39" w:rsidRPr="007D3998" w:rsidRDefault="00DC1B39" w:rsidP="002153EF">
      <w:pPr>
        <w:rPr>
          <w:rFonts w:cstheme="minorHAnsi"/>
          <w:color w:val="000000"/>
          <w:sz w:val="22"/>
          <w:szCs w:val="22"/>
        </w:rPr>
      </w:pPr>
    </w:p>
    <w:p w:rsidR="00DC1B39" w:rsidRPr="007D3998" w:rsidRDefault="00DC1B39" w:rsidP="002153EF">
      <w:pPr>
        <w:rPr>
          <w:rFonts w:cstheme="minorHAnsi"/>
          <w:color w:val="000000"/>
          <w:sz w:val="22"/>
          <w:szCs w:val="22"/>
        </w:rPr>
      </w:pPr>
    </w:p>
    <w:p w:rsidR="002153EF" w:rsidRPr="007D3998" w:rsidRDefault="00884009" w:rsidP="002153EF">
      <w:pPr>
        <w:rPr>
          <w:rFonts w:cstheme="minorHAnsi"/>
          <w:color w:val="000000"/>
          <w:sz w:val="22"/>
          <w:szCs w:val="22"/>
        </w:rPr>
      </w:pPr>
      <w:r w:rsidRPr="007D3998">
        <w:rPr>
          <w:rFonts w:cstheme="minorHAnsi"/>
          <w:color w:val="000000"/>
          <w:sz w:val="22"/>
          <w:szCs w:val="22"/>
        </w:rPr>
        <w:t>A v/disposición para cualquier ampliación o información adicional que puedan requerir.</w:t>
      </w:r>
    </w:p>
    <w:p w:rsidR="00884009" w:rsidRPr="007D3998" w:rsidRDefault="00884009" w:rsidP="002153EF">
      <w:pPr>
        <w:rPr>
          <w:rFonts w:cstheme="minorHAnsi"/>
          <w:color w:val="000000"/>
          <w:sz w:val="22"/>
          <w:szCs w:val="22"/>
        </w:rPr>
      </w:pPr>
    </w:p>
    <w:p w:rsidR="00884009" w:rsidRPr="007D3998" w:rsidRDefault="00884009" w:rsidP="002153EF">
      <w:pPr>
        <w:rPr>
          <w:rFonts w:cstheme="minorHAnsi"/>
          <w:color w:val="000000"/>
          <w:sz w:val="22"/>
          <w:szCs w:val="22"/>
        </w:rPr>
      </w:pPr>
      <w:r w:rsidRPr="007D3998">
        <w:rPr>
          <w:rFonts w:cstheme="minorHAnsi"/>
          <w:color w:val="000000"/>
          <w:sz w:val="22"/>
          <w:szCs w:val="22"/>
        </w:rPr>
        <w:tab/>
      </w:r>
      <w:r w:rsidRPr="007D3998">
        <w:rPr>
          <w:rFonts w:cstheme="minorHAnsi"/>
          <w:color w:val="000000"/>
          <w:sz w:val="22"/>
          <w:szCs w:val="22"/>
        </w:rPr>
        <w:tab/>
      </w:r>
      <w:r w:rsidRPr="007D3998">
        <w:rPr>
          <w:rFonts w:cstheme="minorHAnsi"/>
          <w:color w:val="000000"/>
          <w:sz w:val="22"/>
          <w:szCs w:val="22"/>
        </w:rPr>
        <w:tab/>
      </w:r>
      <w:r w:rsidRPr="007D3998">
        <w:rPr>
          <w:rFonts w:cstheme="minorHAnsi"/>
          <w:color w:val="000000"/>
          <w:sz w:val="22"/>
          <w:szCs w:val="22"/>
        </w:rPr>
        <w:tab/>
      </w:r>
      <w:r w:rsidRPr="007D3998">
        <w:rPr>
          <w:rFonts w:cstheme="minorHAnsi"/>
          <w:color w:val="000000"/>
          <w:sz w:val="22"/>
          <w:szCs w:val="22"/>
        </w:rPr>
        <w:tab/>
      </w:r>
      <w:r w:rsidRPr="007D3998">
        <w:rPr>
          <w:rFonts w:cstheme="minorHAnsi"/>
          <w:color w:val="000000"/>
          <w:sz w:val="22"/>
          <w:szCs w:val="22"/>
        </w:rPr>
        <w:tab/>
      </w:r>
      <w:proofErr w:type="spellStart"/>
      <w:r w:rsidRPr="007D3998">
        <w:rPr>
          <w:rFonts w:cstheme="minorHAnsi"/>
          <w:color w:val="000000"/>
          <w:sz w:val="22"/>
          <w:szCs w:val="22"/>
        </w:rPr>
        <w:t>Atte</w:t>
      </w:r>
      <w:proofErr w:type="spellEnd"/>
    </w:p>
    <w:p w:rsidR="002153EF" w:rsidRPr="007D3998" w:rsidRDefault="002153EF" w:rsidP="002153EF">
      <w:pPr>
        <w:rPr>
          <w:rFonts w:cstheme="minorHAnsi"/>
          <w:color w:val="000000"/>
          <w:sz w:val="22"/>
          <w:szCs w:val="22"/>
        </w:rPr>
      </w:pPr>
    </w:p>
    <w:p w:rsidR="002153EF" w:rsidRPr="007D3998" w:rsidRDefault="002153EF" w:rsidP="002153EF">
      <w:pPr>
        <w:rPr>
          <w:rFonts w:cstheme="minorHAnsi"/>
          <w:color w:val="000000"/>
          <w:sz w:val="22"/>
          <w:szCs w:val="22"/>
        </w:rPr>
      </w:pPr>
      <w:r w:rsidRPr="007D3998">
        <w:rPr>
          <w:rFonts w:cstheme="minorHAnsi"/>
          <w:color w:val="000000"/>
          <w:sz w:val="22"/>
          <w:szCs w:val="22"/>
        </w:rPr>
        <w:t> </w:t>
      </w:r>
    </w:p>
    <w:p w:rsidR="00B3617E" w:rsidRPr="00DC1B39" w:rsidRDefault="006D06A1" w:rsidP="002153EF">
      <w:pPr>
        <w:rPr>
          <w:rFonts w:ascii="Arial" w:eastAsia="Arial" w:hAnsi="Arial" w:cs="Arial"/>
          <w:sz w:val="22"/>
          <w:szCs w:val="22"/>
        </w:rPr>
      </w:pPr>
      <w:r w:rsidRPr="007D3998">
        <w:rPr>
          <w:rFonts w:eastAsia="Arial" w:cstheme="minorHAnsi"/>
          <w:b/>
          <w:sz w:val="22"/>
          <w:szCs w:val="22"/>
        </w:rPr>
        <w:tab/>
      </w:r>
      <w:r w:rsidRPr="007D3998">
        <w:rPr>
          <w:rFonts w:eastAsia="Arial" w:cstheme="minorHAnsi"/>
          <w:b/>
          <w:sz w:val="22"/>
          <w:szCs w:val="22"/>
        </w:rPr>
        <w:tab/>
      </w:r>
      <w:r w:rsidRPr="007D3998">
        <w:rPr>
          <w:rFonts w:eastAsia="Arial" w:cstheme="minorHAnsi"/>
          <w:b/>
          <w:sz w:val="22"/>
          <w:szCs w:val="22"/>
        </w:rPr>
        <w:tab/>
      </w:r>
      <w:r w:rsidRPr="007D3998">
        <w:rPr>
          <w:rFonts w:eastAsia="Arial" w:cstheme="minorHAnsi"/>
          <w:b/>
          <w:sz w:val="22"/>
          <w:szCs w:val="22"/>
        </w:rPr>
        <w:tab/>
      </w:r>
      <w:r w:rsidRPr="007D3998">
        <w:rPr>
          <w:rFonts w:eastAsia="Arial" w:cstheme="minorHAnsi"/>
          <w:b/>
          <w:sz w:val="22"/>
          <w:szCs w:val="22"/>
        </w:rPr>
        <w:tab/>
      </w:r>
      <w:r w:rsidRPr="007D3998">
        <w:rPr>
          <w:rFonts w:eastAsia="Arial" w:cstheme="minorHAnsi"/>
          <w:b/>
          <w:sz w:val="22"/>
          <w:szCs w:val="22"/>
        </w:rPr>
        <w:tab/>
      </w:r>
      <w:r w:rsidR="00322AD7" w:rsidRPr="007D3998">
        <w:rPr>
          <w:rFonts w:eastAsia="Arial" w:cstheme="minorHAnsi"/>
          <w:b/>
          <w:sz w:val="22"/>
          <w:szCs w:val="22"/>
        </w:rPr>
        <w:tab/>
      </w:r>
      <w:r w:rsidR="00322AD7" w:rsidRPr="007D3998">
        <w:rPr>
          <w:rFonts w:eastAsia="Arial" w:cstheme="minorHAnsi"/>
          <w:b/>
          <w:sz w:val="22"/>
          <w:szCs w:val="22"/>
        </w:rPr>
        <w:tab/>
      </w:r>
      <w:proofErr w:type="spellStart"/>
      <w:r w:rsidR="00322AD7" w:rsidRPr="007D3998">
        <w:rPr>
          <w:rFonts w:eastAsia="Arial" w:cstheme="minorHAnsi"/>
          <w:sz w:val="22"/>
          <w:szCs w:val="22"/>
        </w:rPr>
        <w:t>Pbtro</w:t>
      </w:r>
      <w:proofErr w:type="spellEnd"/>
      <w:r w:rsidR="00322AD7" w:rsidRPr="007D3998">
        <w:rPr>
          <w:rFonts w:eastAsia="Arial" w:cstheme="minorHAnsi"/>
          <w:sz w:val="22"/>
          <w:szCs w:val="22"/>
        </w:rPr>
        <w:t xml:space="preserve"> Pablo Molero</w:t>
      </w:r>
      <w:r w:rsidRPr="007D3998">
        <w:rPr>
          <w:rFonts w:eastAsia="Arial" w:cstheme="minorHAnsi"/>
          <w:sz w:val="22"/>
          <w:szCs w:val="22"/>
        </w:rPr>
        <w:tab/>
      </w:r>
      <w:r w:rsidRPr="00DC1B39">
        <w:rPr>
          <w:rFonts w:ascii="Arial" w:eastAsia="Arial" w:hAnsi="Arial" w:cs="Arial"/>
          <w:sz w:val="22"/>
          <w:szCs w:val="22"/>
        </w:rPr>
        <w:tab/>
      </w:r>
      <w:r w:rsidRPr="00DC1B39">
        <w:rPr>
          <w:rFonts w:ascii="Arial" w:eastAsia="Arial" w:hAnsi="Arial" w:cs="Arial"/>
          <w:sz w:val="22"/>
          <w:szCs w:val="22"/>
        </w:rPr>
        <w:tab/>
      </w:r>
    </w:p>
    <w:sectPr w:rsidR="00B3617E" w:rsidRPr="00DC1B39" w:rsidSect="002C0D11">
      <w:headerReference w:type="default" r:id="rId15"/>
      <w:footerReference w:type="default" r:id="rId16"/>
      <w:pgSz w:w="11900" w:h="16840"/>
      <w:pgMar w:top="2268" w:right="170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28" w:rsidRDefault="00495728" w:rsidP="002C0D11">
      <w:r>
        <w:separator/>
      </w:r>
    </w:p>
  </w:endnote>
  <w:endnote w:type="continuationSeparator" w:id="0">
    <w:p w:rsidR="00495728" w:rsidRDefault="00495728" w:rsidP="002C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11" w:rsidRDefault="00640017">
    <w:pPr>
      <w:pStyle w:val="Piedepgina"/>
    </w:pPr>
    <w:r>
      <w:rPr>
        <w:noProof/>
        <w:lang w:eastAsia="es-AR"/>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73</wp:posOffset>
          </wp:positionV>
          <wp:extent cx="7560000" cy="528289"/>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282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28" w:rsidRDefault="00495728" w:rsidP="002C0D11">
      <w:r>
        <w:separator/>
      </w:r>
    </w:p>
  </w:footnote>
  <w:footnote w:type="continuationSeparator" w:id="0">
    <w:p w:rsidR="00495728" w:rsidRDefault="00495728" w:rsidP="002C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11" w:rsidRDefault="002C0D11">
    <w:pPr>
      <w:pStyle w:val="Encabezado"/>
    </w:pPr>
    <w:r>
      <w:rPr>
        <w:noProof/>
        <w:lang w:eastAsia="es-AR"/>
      </w:rPr>
      <w:drawing>
        <wp:anchor distT="0" distB="0" distL="114300" distR="114300" simplePos="0" relativeHeight="251658240" behindDoc="0" locked="0" layoutInCell="1" allowOverlap="1">
          <wp:simplePos x="0" y="0"/>
          <wp:positionH relativeFrom="margin">
            <wp:posOffset>1318895</wp:posOffset>
          </wp:positionH>
          <wp:positionV relativeFrom="margin">
            <wp:posOffset>-1028700</wp:posOffset>
          </wp:positionV>
          <wp:extent cx="2769235" cy="810895"/>
          <wp:effectExtent l="0" t="0" r="0" b="1905"/>
          <wp:wrapSquare wrapText="bothSides"/>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769235" cy="810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B4A"/>
    <w:multiLevelType w:val="multilevel"/>
    <w:tmpl w:val="A65C9BC4"/>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8923A8"/>
    <w:multiLevelType w:val="hybridMultilevel"/>
    <w:tmpl w:val="6B0C4B72"/>
    <w:lvl w:ilvl="0" w:tplc="CA90AFF8">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3DF792B"/>
    <w:multiLevelType w:val="hybridMultilevel"/>
    <w:tmpl w:val="A8788D54"/>
    <w:lvl w:ilvl="0" w:tplc="368E6F26">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11"/>
    <w:rsid w:val="000F0EF9"/>
    <w:rsid w:val="00100722"/>
    <w:rsid w:val="00151015"/>
    <w:rsid w:val="00164AE9"/>
    <w:rsid w:val="002153EF"/>
    <w:rsid w:val="002C0D11"/>
    <w:rsid w:val="002D049C"/>
    <w:rsid w:val="00322AD7"/>
    <w:rsid w:val="00495728"/>
    <w:rsid w:val="00640017"/>
    <w:rsid w:val="006411F5"/>
    <w:rsid w:val="006D06A1"/>
    <w:rsid w:val="007B4033"/>
    <w:rsid w:val="007D3998"/>
    <w:rsid w:val="008413C5"/>
    <w:rsid w:val="00853183"/>
    <w:rsid w:val="00884009"/>
    <w:rsid w:val="00A60462"/>
    <w:rsid w:val="00AB5683"/>
    <w:rsid w:val="00AD430C"/>
    <w:rsid w:val="00B3617E"/>
    <w:rsid w:val="00C12285"/>
    <w:rsid w:val="00D449C6"/>
    <w:rsid w:val="00D76F0F"/>
    <w:rsid w:val="00DC1B39"/>
    <w:rsid w:val="00E67477"/>
    <w:rsid w:val="00F04F2C"/>
    <w:rsid w:val="00F804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D11"/>
    <w:pPr>
      <w:tabs>
        <w:tab w:val="center" w:pos="4419"/>
        <w:tab w:val="right" w:pos="8838"/>
      </w:tabs>
    </w:pPr>
  </w:style>
  <w:style w:type="character" w:customStyle="1" w:styleId="EncabezadoCar">
    <w:name w:val="Encabezado Car"/>
    <w:basedOn w:val="Fuentedeprrafopredeter"/>
    <w:link w:val="Encabezado"/>
    <w:uiPriority w:val="99"/>
    <w:rsid w:val="002C0D11"/>
    <w:rPr>
      <w:rFonts w:eastAsiaTheme="minorEastAsia"/>
    </w:rPr>
  </w:style>
  <w:style w:type="paragraph" w:styleId="Piedepgina">
    <w:name w:val="footer"/>
    <w:basedOn w:val="Normal"/>
    <w:link w:val="PiedepginaCar"/>
    <w:uiPriority w:val="99"/>
    <w:unhideWhenUsed/>
    <w:rsid w:val="002C0D11"/>
    <w:pPr>
      <w:tabs>
        <w:tab w:val="center" w:pos="4419"/>
        <w:tab w:val="right" w:pos="8838"/>
      </w:tabs>
    </w:pPr>
  </w:style>
  <w:style w:type="character" w:customStyle="1" w:styleId="PiedepginaCar">
    <w:name w:val="Pie de página Car"/>
    <w:basedOn w:val="Fuentedeprrafopredeter"/>
    <w:link w:val="Piedepgina"/>
    <w:uiPriority w:val="99"/>
    <w:rsid w:val="002C0D11"/>
    <w:rPr>
      <w:rFonts w:eastAsiaTheme="minorEastAsia"/>
    </w:rPr>
  </w:style>
  <w:style w:type="paragraph" w:styleId="Prrafodelista">
    <w:name w:val="List Paragraph"/>
    <w:basedOn w:val="Normal"/>
    <w:uiPriority w:val="34"/>
    <w:qFormat/>
    <w:rsid w:val="00F04F2C"/>
    <w:pPr>
      <w:ind w:left="720"/>
      <w:contextualSpacing/>
    </w:pPr>
  </w:style>
  <w:style w:type="character" w:styleId="Hipervnculo">
    <w:name w:val="Hyperlink"/>
    <w:basedOn w:val="Fuentedeprrafopredeter"/>
    <w:uiPriority w:val="99"/>
    <w:unhideWhenUsed/>
    <w:rsid w:val="00F04F2C"/>
    <w:rPr>
      <w:color w:val="0563C1" w:themeColor="hyperlink"/>
      <w:u w:val="single"/>
    </w:rPr>
  </w:style>
  <w:style w:type="character" w:styleId="Hipervnculovisitado">
    <w:name w:val="FollowedHyperlink"/>
    <w:basedOn w:val="Fuentedeprrafopredeter"/>
    <w:uiPriority w:val="99"/>
    <w:semiHidden/>
    <w:unhideWhenUsed/>
    <w:rsid w:val="00F04F2C"/>
    <w:rPr>
      <w:color w:val="954F72" w:themeColor="followedHyperlink"/>
      <w:u w:val="single"/>
    </w:rPr>
  </w:style>
  <w:style w:type="paragraph" w:styleId="Textodeglobo">
    <w:name w:val="Balloon Text"/>
    <w:basedOn w:val="Normal"/>
    <w:link w:val="TextodegloboCar"/>
    <w:uiPriority w:val="99"/>
    <w:semiHidden/>
    <w:unhideWhenUsed/>
    <w:rsid w:val="006D06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6A1"/>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D11"/>
    <w:pPr>
      <w:tabs>
        <w:tab w:val="center" w:pos="4419"/>
        <w:tab w:val="right" w:pos="8838"/>
      </w:tabs>
    </w:pPr>
  </w:style>
  <w:style w:type="character" w:customStyle="1" w:styleId="EncabezadoCar">
    <w:name w:val="Encabezado Car"/>
    <w:basedOn w:val="Fuentedeprrafopredeter"/>
    <w:link w:val="Encabezado"/>
    <w:uiPriority w:val="99"/>
    <w:rsid w:val="002C0D11"/>
    <w:rPr>
      <w:rFonts w:eastAsiaTheme="minorEastAsia"/>
    </w:rPr>
  </w:style>
  <w:style w:type="paragraph" w:styleId="Piedepgina">
    <w:name w:val="footer"/>
    <w:basedOn w:val="Normal"/>
    <w:link w:val="PiedepginaCar"/>
    <w:uiPriority w:val="99"/>
    <w:unhideWhenUsed/>
    <w:rsid w:val="002C0D11"/>
    <w:pPr>
      <w:tabs>
        <w:tab w:val="center" w:pos="4419"/>
        <w:tab w:val="right" w:pos="8838"/>
      </w:tabs>
    </w:pPr>
  </w:style>
  <w:style w:type="character" w:customStyle="1" w:styleId="PiedepginaCar">
    <w:name w:val="Pie de página Car"/>
    <w:basedOn w:val="Fuentedeprrafopredeter"/>
    <w:link w:val="Piedepgina"/>
    <w:uiPriority w:val="99"/>
    <w:rsid w:val="002C0D11"/>
    <w:rPr>
      <w:rFonts w:eastAsiaTheme="minorEastAsia"/>
    </w:rPr>
  </w:style>
  <w:style w:type="paragraph" w:styleId="Prrafodelista">
    <w:name w:val="List Paragraph"/>
    <w:basedOn w:val="Normal"/>
    <w:uiPriority w:val="34"/>
    <w:qFormat/>
    <w:rsid w:val="00F04F2C"/>
    <w:pPr>
      <w:ind w:left="720"/>
      <w:contextualSpacing/>
    </w:pPr>
  </w:style>
  <w:style w:type="character" w:styleId="Hipervnculo">
    <w:name w:val="Hyperlink"/>
    <w:basedOn w:val="Fuentedeprrafopredeter"/>
    <w:uiPriority w:val="99"/>
    <w:unhideWhenUsed/>
    <w:rsid w:val="00F04F2C"/>
    <w:rPr>
      <w:color w:val="0563C1" w:themeColor="hyperlink"/>
      <w:u w:val="single"/>
    </w:rPr>
  </w:style>
  <w:style w:type="character" w:styleId="Hipervnculovisitado">
    <w:name w:val="FollowedHyperlink"/>
    <w:basedOn w:val="Fuentedeprrafopredeter"/>
    <w:uiPriority w:val="99"/>
    <w:semiHidden/>
    <w:unhideWhenUsed/>
    <w:rsid w:val="00F04F2C"/>
    <w:rPr>
      <w:color w:val="954F72" w:themeColor="followedHyperlink"/>
      <w:u w:val="single"/>
    </w:rPr>
  </w:style>
  <w:style w:type="paragraph" w:styleId="Textodeglobo">
    <w:name w:val="Balloon Text"/>
    <w:basedOn w:val="Normal"/>
    <w:link w:val="TextodegloboCar"/>
    <w:uiPriority w:val="99"/>
    <w:semiHidden/>
    <w:unhideWhenUsed/>
    <w:rsid w:val="006D06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6A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84405">
      <w:bodyDiv w:val="1"/>
      <w:marLeft w:val="0"/>
      <w:marRight w:val="0"/>
      <w:marTop w:val="0"/>
      <w:marBottom w:val="0"/>
      <w:divBdr>
        <w:top w:val="none" w:sz="0" w:space="0" w:color="auto"/>
        <w:left w:val="none" w:sz="0" w:space="0" w:color="auto"/>
        <w:bottom w:val="none" w:sz="0" w:space="0" w:color="auto"/>
        <w:right w:val="none" w:sz="0" w:space="0" w:color="auto"/>
      </w:divBdr>
    </w:div>
    <w:div w:id="19904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JEW\AnduAvy\aiepesa\SEGUNDA%20ENCUESTA\Resultados\Informes\FacturasYaGiradasPorLaSSSNoAbonadas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JEW\AnduAvy\aiepesa\SEGUNDA%20ENCUESTA\Resultados\Informes\FacturasYaGiradasPorLaSSSNoAbonadas2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EW\AnduAvy\aiepesa\SEGUNDA%20ENCUESTA\Resultados\Informes\FacturasNoPresentadasalaSS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JEW\AnduAvy\aiepesa\SEGUNDA%20ENCUESTA\Resultados\Informes\FacturasNoPresentadasalaSSS.pdf" TargetMode="External"/><Relationship Id="rId4" Type="http://schemas.microsoft.com/office/2007/relationships/stylesWithEffects" Target="stylesWithEffects.xml"/><Relationship Id="rId9" Type="http://schemas.openxmlformats.org/officeDocument/2006/relationships/hyperlink" Target="https://www.sssalud.gob.ar/index.php?page=integracion" TargetMode="External"/><Relationship Id="rId14" Type="http://schemas.openxmlformats.org/officeDocument/2006/relationships/hyperlink" Target="file:///C:\JEW\AnduAvy\aiepesa\SEGUNDA%20ENCUESTA\Resultados\Informes\FacturasYaGiradasPorLaSSSNoAbonadas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C44C-666F-4870-BBFE-54900FD3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927</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Cattaneo</dc:creator>
  <cp:keywords/>
  <dc:description/>
  <cp:lastModifiedBy>T4</cp:lastModifiedBy>
  <cp:revision>3</cp:revision>
  <cp:lastPrinted>2020-05-28T15:45:00Z</cp:lastPrinted>
  <dcterms:created xsi:type="dcterms:W3CDTF">2020-06-17T18:03:00Z</dcterms:created>
  <dcterms:modified xsi:type="dcterms:W3CDTF">2020-08-25T17:23:00Z</dcterms:modified>
</cp:coreProperties>
</file>